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ACCA8" w14:textId="5935146C" w:rsidR="00326B06" w:rsidRDefault="00326B06" w:rsidP="00326B06">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70162A">
        <w:rPr>
          <w:b/>
          <w:noProof/>
          <w:sz w:val="24"/>
        </w:rPr>
        <w:t>379</w:t>
      </w:r>
    </w:p>
    <w:p w14:paraId="181A2F50" w14:textId="77777777" w:rsidR="00326B06" w:rsidRDefault="00326B06" w:rsidP="00326B06">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6BB4BAF" w:rsidR="00463675" w:rsidRPr="000F4E43" w:rsidRDefault="00463675" w:rsidP="000F4E43">
      <w:pPr>
        <w:pStyle w:val="Title"/>
      </w:pPr>
      <w:r w:rsidRPr="000F4E43">
        <w:t>Title:</w:t>
      </w:r>
      <w:r w:rsidRPr="000F4E43">
        <w:tab/>
      </w:r>
      <w:r w:rsidR="00A86FE1">
        <w:t>Reply LS on Group Subscriptions</w:t>
      </w:r>
    </w:p>
    <w:p w14:paraId="65004854" w14:textId="4AC72446" w:rsidR="00463675" w:rsidRPr="000F4E43" w:rsidRDefault="00463675" w:rsidP="000F4E43">
      <w:pPr>
        <w:pStyle w:val="Title"/>
      </w:pPr>
      <w:r w:rsidRPr="000F4E43">
        <w:t>Response to:</w:t>
      </w:r>
      <w:r w:rsidRPr="000F4E43">
        <w:tab/>
      </w:r>
      <w:r w:rsidR="00A86FE1">
        <w:t>Reply LS on Group Subscriptions (</w:t>
      </w:r>
      <w:r w:rsidR="00A86FE1" w:rsidRPr="00A86FE1">
        <w:t>S2-2103229</w:t>
      </w:r>
      <w:r w:rsidR="00A86FE1">
        <w:t xml:space="preserve">) </w:t>
      </w:r>
      <w:r w:rsidR="00A86FE1" w:rsidRPr="00A86FE1">
        <w:t>from SA2</w:t>
      </w:r>
    </w:p>
    <w:p w14:paraId="56E3B846" w14:textId="75732178" w:rsidR="00463675" w:rsidRPr="000F4E43" w:rsidRDefault="00463675" w:rsidP="000F4E43">
      <w:pPr>
        <w:pStyle w:val="Title"/>
      </w:pPr>
      <w:r w:rsidRPr="000F4E43">
        <w:t>Release:</w:t>
      </w:r>
      <w:r w:rsidRPr="000F4E43">
        <w:tab/>
      </w:r>
      <w:r w:rsidR="00A86FE1" w:rsidRPr="00A86FE1">
        <w:t>Rel-15 onwards</w:t>
      </w:r>
    </w:p>
    <w:p w14:paraId="792135A2" w14:textId="388CCC61" w:rsidR="00463675" w:rsidRPr="000F4E43" w:rsidRDefault="00463675" w:rsidP="000F4E43">
      <w:pPr>
        <w:pStyle w:val="Title"/>
      </w:pPr>
      <w:r w:rsidRPr="000F4E43">
        <w:t>Work Item:</w:t>
      </w:r>
      <w:r w:rsidRPr="000F4E43">
        <w:tab/>
      </w:r>
      <w:r w:rsidR="00A86FE1" w:rsidRPr="00A86FE1">
        <w:t>5GS_Ph1-CT</w:t>
      </w:r>
    </w:p>
    <w:p w14:paraId="0A1390C0" w14:textId="77777777" w:rsidR="00463675" w:rsidRPr="000F4E43" w:rsidRDefault="00463675">
      <w:pPr>
        <w:spacing w:after="60"/>
        <w:ind w:left="1985" w:hanging="1985"/>
        <w:rPr>
          <w:rFonts w:ascii="Arial" w:hAnsi="Arial" w:cs="Arial"/>
          <w:b/>
        </w:rPr>
      </w:pPr>
    </w:p>
    <w:p w14:paraId="2BA4C3D5" w14:textId="18DF1C7D" w:rsidR="00463675" w:rsidRPr="000F4E43" w:rsidRDefault="00463675" w:rsidP="000F4E43">
      <w:pPr>
        <w:pStyle w:val="Source"/>
      </w:pPr>
      <w:r w:rsidRPr="000F4E43">
        <w:t>Source:</w:t>
      </w:r>
      <w:r w:rsidRPr="000F4E43">
        <w:tab/>
      </w:r>
      <w:r w:rsidR="00A86FE1" w:rsidRPr="00A86FE1">
        <w:rPr>
          <w:b w:val="0"/>
        </w:rPr>
        <w:t>CT4</w:t>
      </w:r>
    </w:p>
    <w:p w14:paraId="6AF9910D" w14:textId="0328E29A" w:rsidR="00463675" w:rsidRPr="000F4E43" w:rsidRDefault="00463675" w:rsidP="000F4E43">
      <w:pPr>
        <w:pStyle w:val="Source"/>
      </w:pPr>
      <w:r w:rsidRPr="000F4E43">
        <w:t>To:</w:t>
      </w:r>
      <w:r w:rsidRPr="000F4E43">
        <w:tab/>
      </w:r>
      <w:r w:rsidR="00A86FE1" w:rsidRPr="00A86FE1">
        <w:rPr>
          <w:b w:val="0"/>
        </w:rPr>
        <w:t>SA2</w:t>
      </w:r>
    </w:p>
    <w:p w14:paraId="033E954A" w14:textId="5289D31C"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D8AA5C9" w:rsidR="00463675" w:rsidRPr="000F4E43" w:rsidRDefault="00463675" w:rsidP="000F4E43">
      <w:pPr>
        <w:pStyle w:val="Contact"/>
        <w:tabs>
          <w:tab w:val="clear" w:pos="2268"/>
        </w:tabs>
        <w:rPr>
          <w:bCs/>
        </w:rPr>
      </w:pPr>
      <w:r w:rsidRPr="000F4E43">
        <w:t>Name:</w:t>
      </w:r>
      <w:r w:rsidRPr="000F4E43">
        <w:rPr>
          <w:bCs/>
        </w:rPr>
        <w:tab/>
      </w:r>
      <w:r w:rsidR="00A86FE1">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EBC0839" w:rsidR="00463675" w:rsidRPr="00A86FE1" w:rsidRDefault="00463675" w:rsidP="000F4E43">
      <w:pPr>
        <w:pStyle w:val="Contact"/>
        <w:tabs>
          <w:tab w:val="clear" w:pos="2268"/>
        </w:tabs>
        <w:rPr>
          <w:bCs/>
          <w:color w:val="0000FF"/>
          <w:lang w:val="fr-FR"/>
        </w:rPr>
      </w:pPr>
      <w:r w:rsidRPr="00A86FE1">
        <w:rPr>
          <w:color w:val="0000FF"/>
          <w:lang w:val="fr-FR"/>
        </w:rPr>
        <w:t xml:space="preserve">E-mail </w:t>
      </w:r>
      <w:proofErr w:type="spellStart"/>
      <w:r w:rsidRPr="00A86FE1">
        <w:rPr>
          <w:color w:val="0000FF"/>
          <w:lang w:val="fr-FR"/>
        </w:rPr>
        <w:t>Address</w:t>
      </w:r>
      <w:proofErr w:type="spellEnd"/>
      <w:r w:rsidRPr="00A86FE1">
        <w:rPr>
          <w:color w:val="0000FF"/>
          <w:lang w:val="fr-FR"/>
        </w:rPr>
        <w:t>:</w:t>
      </w:r>
      <w:r w:rsidRPr="00A86FE1">
        <w:rPr>
          <w:bCs/>
          <w:color w:val="0000FF"/>
          <w:lang w:val="fr-FR"/>
        </w:rPr>
        <w:tab/>
      </w:r>
      <w:r w:rsidR="00A86FE1" w:rsidRPr="00A86FE1">
        <w:rPr>
          <w:bCs/>
          <w:color w:val="0000FF"/>
          <w:lang w:val="fr-FR"/>
        </w:rPr>
        <w:t>bruno.landais@</w:t>
      </w:r>
      <w:r w:rsidR="00A86FE1">
        <w:rPr>
          <w:bCs/>
          <w:color w:val="0000FF"/>
          <w:lang w:val="fr-FR"/>
        </w:rPr>
        <w:t>nokia.com</w:t>
      </w:r>
    </w:p>
    <w:p w14:paraId="486A119D" w14:textId="77777777" w:rsidR="00463675" w:rsidRPr="00A86FE1"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8B1384D" w:rsidR="00463675" w:rsidRPr="000F4E43" w:rsidRDefault="00463675" w:rsidP="000F4E43">
      <w:pPr>
        <w:pStyle w:val="Title"/>
      </w:pPr>
      <w:r w:rsidRPr="000F4E43">
        <w:t>Attachments:</w:t>
      </w:r>
      <w:r w:rsidRPr="000F4E43">
        <w:tab/>
      </w:r>
      <w:r w:rsidR="00A86FE1" w:rsidRPr="00A86FE1">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7D28CC8" w14:textId="77777777" w:rsidR="00A86FE1" w:rsidRDefault="00A86FE1">
      <w:pPr>
        <w:rPr>
          <w:rFonts w:ascii="Arial" w:hAnsi="Arial" w:cs="Arial"/>
        </w:rPr>
      </w:pPr>
    </w:p>
    <w:p w14:paraId="2D3BA29D" w14:textId="54A35A16" w:rsidR="00463675" w:rsidRDefault="00A86FE1">
      <w:pPr>
        <w:rPr>
          <w:rFonts w:ascii="Arial" w:hAnsi="Arial" w:cs="Arial"/>
        </w:rPr>
      </w:pPr>
      <w:r w:rsidRPr="00A86FE1">
        <w:rPr>
          <w:rFonts w:ascii="Arial" w:hAnsi="Arial" w:cs="Arial"/>
        </w:rPr>
        <w:t>CT4 thanks SA2 for their Reply LS on Group Subscriptions (</w:t>
      </w:r>
      <w:r w:rsidRPr="00A86FE1">
        <w:rPr>
          <w:rFonts w:ascii="Arial" w:hAnsi="Arial" w:cs="Arial"/>
        </w:rPr>
        <w:t>S2-2103229</w:t>
      </w:r>
      <w:r w:rsidRPr="00A86FE1">
        <w:rPr>
          <w:rFonts w:ascii="Arial" w:hAnsi="Arial" w:cs="Arial"/>
        </w:rPr>
        <w:t>).</w:t>
      </w:r>
      <w:r>
        <w:rPr>
          <w:rFonts w:ascii="Arial" w:hAnsi="Arial" w:cs="Arial"/>
        </w:rPr>
        <w:t xml:space="preserve"> </w:t>
      </w:r>
    </w:p>
    <w:p w14:paraId="19C3D00B" w14:textId="0810E581" w:rsidR="00A86FE1" w:rsidRDefault="00A86FE1">
      <w:pPr>
        <w:rPr>
          <w:rFonts w:ascii="Arial" w:hAnsi="Arial" w:cs="Arial"/>
        </w:rPr>
      </w:pPr>
    </w:p>
    <w:p w14:paraId="0B413F7D" w14:textId="6707A9E5" w:rsidR="00A86FE1" w:rsidRDefault="00A908B1">
      <w:pPr>
        <w:rPr>
          <w:rFonts w:ascii="Arial" w:hAnsi="Arial" w:cs="Arial"/>
        </w:rPr>
      </w:pPr>
      <w:r>
        <w:rPr>
          <w:rFonts w:ascii="Arial" w:hAnsi="Arial" w:cs="Arial"/>
        </w:rPr>
        <w:t>Regarding</w:t>
      </w:r>
      <w:r w:rsidR="00A86FE1">
        <w:rPr>
          <w:rFonts w:ascii="Arial" w:hAnsi="Arial" w:cs="Arial"/>
        </w:rPr>
        <w:t xml:space="preserve"> the following answer: </w:t>
      </w:r>
    </w:p>
    <w:p w14:paraId="36011EA5" w14:textId="64016878" w:rsidR="00A86FE1" w:rsidRDefault="00A86FE1">
      <w:pPr>
        <w:rPr>
          <w:rFonts w:ascii="Arial" w:hAnsi="Arial" w:cs="Arial"/>
        </w:rPr>
      </w:pPr>
    </w:p>
    <w:p w14:paraId="3494462A" w14:textId="77777777" w:rsidR="00A86FE1" w:rsidRPr="00A86FE1" w:rsidRDefault="00A86FE1" w:rsidP="00A86FE1">
      <w:pPr>
        <w:pStyle w:val="Header"/>
        <w:tabs>
          <w:tab w:val="clear" w:pos="4153"/>
          <w:tab w:val="clear" w:pos="8306"/>
        </w:tabs>
        <w:ind w:left="720" w:hanging="720"/>
        <w:rPr>
          <w:rFonts w:ascii="Arial" w:hAnsi="Arial" w:cs="Arial"/>
          <w:i/>
          <w:iCs/>
        </w:rPr>
      </w:pPr>
      <w:r w:rsidRPr="00A86FE1">
        <w:rPr>
          <w:rFonts w:ascii="Arial" w:hAnsi="Arial" w:cs="Arial"/>
          <w:b/>
          <w:bCs/>
          <w:i/>
          <w:iCs/>
        </w:rPr>
        <w:t>Q4</w:t>
      </w:r>
      <w:r w:rsidRPr="00A86FE1">
        <w:rPr>
          <w:rFonts w:ascii="Arial" w:hAnsi="Arial" w:cs="Arial"/>
          <w:i/>
          <w:iCs/>
        </w:rPr>
        <w:t>:</w:t>
      </w:r>
      <w:r w:rsidRPr="00A86FE1">
        <w:rPr>
          <w:rFonts w:ascii="Arial" w:hAnsi="Arial" w:cs="Arial"/>
          <w:i/>
          <w:iCs/>
        </w:rPr>
        <w:tab/>
        <w:t xml:space="preserve">During an inter-AMF mobility of a group member of a group subscription in S-AMF, does the group subscription that T-AMF creates, when there was no corresponding group subscription in T-AMF, only apply to the group member just moving from S-AMF, and not to other group members registered in T-AMF? </w:t>
      </w:r>
    </w:p>
    <w:p w14:paraId="37547DAB" w14:textId="77777777" w:rsidR="00A86FE1" w:rsidRPr="00231198" w:rsidRDefault="00A86FE1" w:rsidP="00A86FE1">
      <w:pPr>
        <w:pStyle w:val="Header"/>
        <w:tabs>
          <w:tab w:val="clear" w:pos="4153"/>
          <w:tab w:val="clear" w:pos="8306"/>
        </w:tabs>
        <w:ind w:left="720" w:hanging="720"/>
        <w:rPr>
          <w:rFonts w:ascii="Arial" w:hAnsi="Arial" w:cs="Arial"/>
          <w:i/>
          <w:iCs/>
        </w:rPr>
      </w:pPr>
      <w:r w:rsidRPr="00231198">
        <w:rPr>
          <w:rFonts w:ascii="Arial" w:hAnsi="Arial" w:cs="Arial"/>
          <w:b/>
          <w:bCs/>
          <w:i/>
          <w:iCs/>
        </w:rPr>
        <w:t xml:space="preserve">SA2 answer: </w:t>
      </w:r>
      <w:r w:rsidRPr="00231198">
        <w:rPr>
          <w:rFonts w:ascii="Arial" w:hAnsi="Arial" w:cs="Arial"/>
          <w:i/>
          <w:iCs/>
        </w:rPr>
        <w:t xml:space="preserve">The group subscription needs to be established and if the UE is the first group member in the T-AMF, then the T-AMF shall generate new subscription correlation ID </w:t>
      </w:r>
      <w:r w:rsidRPr="00A86FE1">
        <w:rPr>
          <w:rFonts w:ascii="Arial" w:hAnsi="Arial" w:cs="Arial"/>
          <w:i/>
          <w:iCs/>
          <w:highlight w:val="cyan"/>
        </w:rPr>
        <w:t>and inform the Notification Target Address (NEF) of it.</w:t>
      </w:r>
      <w:r w:rsidRPr="00231198">
        <w:rPr>
          <w:rFonts w:ascii="Arial" w:hAnsi="Arial" w:cs="Arial"/>
          <w:i/>
          <w:iCs/>
        </w:rPr>
        <w:t xml:space="preserve"> TS 23.502 clause 4.15.4.2 was recently updated (in S2-2101579) to specify that the UE specific parameter state is transferred between the AMFs, i.e.  the actual remaining quota (including no quota remaining, if the monitoring has not been cancelled yet at the time of context transfer) for each UE is transferred from the S-AMF to the T-AMF. The initial values of Maximum number of reports and Maximum duration of reporting of the group monitoring event are also transferred from the S-AMF to the T-AMF to enable the T-AMF to create the group event configuration when needed (i.e. when the first UE of the group moves into a T-AMF that does not have the group event configuration). </w:t>
      </w:r>
    </w:p>
    <w:p w14:paraId="3F65DCBE" w14:textId="77777777" w:rsidR="00A86FE1" w:rsidRPr="00231198" w:rsidRDefault="00A86FE1" w:rsidP="00A86FE1">
      <w:pPr>
        <w:pStyle w:val="Header"/>
        <w:tabs>
          <w:tab w:val="clear" w:pos="4153"/>
          <w:tab w:val="clear" w:pos="8306"/>
        </w:tabs>
        <w:ind w:left="720"/>
        <w:rPr>
          <w:rFonts w:ascii="Arial" w:hAnsi="Arial" w:cs="Arial"/>
        </w:rPr>
      </w:pPr>
    </w:p>
    <w:p w14:paraId="41D233C6" w14:textId="77777777" w:rsidR="00A86FE1" w:rsidRPr="00231198" w:rsidRDefault="00A86FE1" w:rsidP="00A86FE1">
      <w:pPr>
        <w:pStyle w:val="Header"/>
        <w:tabs>
          <w:tab w:val="clear" w:pos="4153"/>
          <w:tab w:val="clear" w:pos="8306"/>
        </w:tabs>
        <w:ind w:left="720"/>
        <w:rPr>
          <w:rFonts w:ascii="Arial" w:hAnsi="Arial" w:cs="Arial"/>
          <w:i/>
        </w:rPr>
      </w:pPr>
      <w:r w:rsidRPr="00231198">
        <w:rPr>
          <w:rFonts w:ascii="Arial" w:hAnsi="Arial" w:cs="Arial"/>
          <w:i/>
        </w:rPr>
        <w:t>If there is at least one other group member already registered in the T-AMF during group event subscription, the group event subscription already exists in T-AMF.</w:t>
      </w:r>
    </w:p>
    <w:p w14:paraId="2511BD34" w14:textId="77777777" w:rsidR="00A86FE1" w:rsidRPr="00A86FE1" w:rsidRDefault="00A86FE1">
      <w:pPr>
        <w:rPr>
          <w:rFonts w:ascii="Arial" w:hAnsi="Arial" w:cs="Arial"/>
        </w:rPr>
      </w:pPr>
    </w:p>
    <w:p w14:paraId="63DA267E" w14:textId="21ABE4C9" w:rsidR="00463675" w:rsidRDefault="00463675">
      <w:pPr>
        <w:pStyle w:val="Header"/>
        <w:tabs>
          <w:tab w:val="clear" w:pos="4153"/>
          <w:tab w:val="clear" w:pos="8306"/>
        </w:tabs>
        <w:rPr>
          <w:rFonts w:ascii="Arial" w:hAnsi="Arial" w:cs="Arial"/>
        </w:rPr>
      </w:pPr>
    </w:p>
    <w:p w14:paraId="5A74C06B" w14:textId="1E69BC2C" w:rsidR="00A86FE1" w:rsidRDefault="00A86FE1">
      <w:pPr>
        <w:pStyle w:val="Header"/>
        <w:tabs>
          <w:tab w:val="clear" w:pos="4153"/>
          <w:tab w:val="clear" w:pos="8306"/>
        </w:tabs>
        <w:rPr>
          <w:rFonts w:ascii="Arial" w:hAnsi="Arial" w:cs="Arial"/>
        </w:rPr>
      </w:pPr>
      <w:r>
        <w:rPr>
          <w:rFonts w:ascii="Arial" w:hAnsi="Arial" w:cs="Arial"/>
        </w:rPr>
        <w:t>CT4 kindly ask SA2 to note that per existing stage 3 specifications, the T</w:t>
      </w:r>
      <w:r w:rsidR="00A908B1">
        <w:rPr>
          <w:rFonts w:ascii="Arial" w:hAnsi="Arial" w:cs="Arial"/>
        </w:rPr>
        <w:t>-</w:t>
      </w:r>
      <w:r>
        <w:rPr>
          <w:rFonts w:ascii="Arial" w:hAnsi="Arial" w:cs="Arial"/>
        </w:rPr>
        <w:t>AMF notifies the UDM about the new subscription creation</w:t>
      </w:r>
      <w:r w:rsidR="00A908B1">
        <w:rPr>
          <w:rFonts w:ascii="Arial" w:hAnsi="Arial" w:cs="Arial"/>
        </w:rPr>
        <w:t xml:space="preserve"> at the T-AMF</w:t>
      </w:r>
      <w:r>
        <w:rPr>
          <w:rFonts w:ascii="Arial" w:hAnsi="Arial" w:cs="Arial"/>
        </w:rPr>
        <w:t>, not the NEF, for AMF event subscriptions created by UDM on behalf of the NEF</w:t>
      </w:r>
      <w:r w:rsidR="002A3379">
        <w:rPr>
          <w:rFonts w:ascii="Arial" w:hAnsi="Arial" w:cs="Arial"/>
        </w:rPr>
        <w:t xml:space="preserve"> (see </w:t>
      </w:r>
      <w:r w:rsidR="002A3379" w:rsidRPr="002A3379">
        <w:rPr>
          <w:rFonts w:ascii="Arial" w:hAnsi="Arial" w:cs="Arial"/>
        </w:rPr>
        <w:t>Table 6.2.6.2.4-1</w:t>
      </w:r>
      <w:r w:rsidR="002A3379" w:rsidRPr="002A3379">
        <w:rPr>
          <w:rFonts w:ascii="Arial" w:hAnsi="Arial" w:cs="Arial"/>
        </w:rPr>
        <w:t xml:space="preserve"> of 3GPP TS 29.518)</w:t>
      </w:r>
      <w:r>
        <w:rPr>
          <w:rFonts w:ascii="Arial" w:hAnsi="Arial" w:cs="Arial"/>
        </w:rPr>
        <w:t xml:space="preserve">. </w:t>
      </w:r>
      <w:r w:rsidR="002A3379">
        <w:rPr>
          <w:rFonts w:ascii="Arial" w:hAnsi="Arial" w:cs="Arial"/>
        </w:rPr>
        <w:t xml:space="preserve">For such </w:t>
      </w:r>
      <w:r w:rsidR="00A908B1">
        <w:rPr>
          <w:rFonts w:ascii="Arial" w:hAnsi="Arial" w:cs="Arial"/>
        </w:rPr>
        <w:t>subscriptions</w:t>
      </w:r>
      <w:r w:rsidR="002A3379">
        <w:rPr>
          <w:rFonts w:ascii="Arial" w:hAnsi="Arial" w:cs="Arial"/>
        </w:rPr>
        <w:t>, t</w:t>
      </w:r>
      <w:r w:rsidR="002A3379">
        <w:rPr>
          <w:rFonts w:ascii="Arial" w:hAnsi="Arial" w:cs="Arial"/>
        </w:rPr>
        <w:t>he NEF</w:t>
      </w:r>
      <w:r w:rsidR="002A3379">
        <w:rPr>
          <w:rFonts w:ascii="Arial" w:hAnsi="Arial" w:cs="Arial"/>
        </w:rPr>
        <w:t xml:space="preserve"> needs not be aware of the AMFs that hold the group subscriptions, since it </w:t>
      </w:r>
      <w:r w:rsidR="00A908B1">
        <w:rPr>
          <w:rFonts w:ascii="Arial" w:hAnsi="Arial" w:cs="Arial"/>
        </w:rPr>
        <w:t xml:space="preserve">modifies or </w:t>
      </w:r>
      <w:r w:rsidR="002A3379">
        <w:rPr>
          <w:rFonts w:ascii="Arial" w:hAnsi="Arial" w:cs="Arial"/>
        </w:rPr>
        <w:t>cancel</w:t>
      </w:r>
      <w:r w:rsidR="00A908B1">
        <w:rPr>
          <w:rFonts w:ascii="Arial" w:hAnsi="Arial" w:cs="Arial"/>
        </w:rPr>
        <w:t>s</w:t>
      </w:r>
      <w:r w:rsidR="002A3379">
        <w:rPr>
          <w:rFonts w:ascii="Arial" w:hAnsi="Arial" w:cs="Arial"/>
        </w:rPr>
        <w:t xml:space="preserve"> the</w:t>
      </w:r>
      <w:r w:rsidR="00A908B1">
        <w:rPr>
          <w:rFonts w:ascii="Arial" w:hAnsi="Arial" w:cs="Arial"/>
        </w:rPr>
        <w:t>se</w:t>
      </w:r>
      <w:r w:rsidR="002A3379">
        <w:rPr>
          <w:rFonts w:ascii="Arial" w:hAnsi="Arial" w:cs="Arial"/>
        </w:rPr>
        <w:t xml:space="preserve"> subscription</w:t>
      </w:r>
      <w:r w:rsidR="00A908B1">
        <w:rPr>
          <w:rFonts w:ascii="Arial" w:hAnsi="Arial" w:cs="Arial"/>
        </w:rPr>
        <w:t>s</w:t>
      </w:r>
      <w:r w:rsidR="002A3379">
        <w:rPr>
          <w:rFonts w:ascii="Arial" w:hAnsi="Arial" w:cs="Arial"/>
        </w:rPr>
        <w:t xml:space="preserve"> via the UDM. </w:t>
      </w:r>
      <w:r>
        <w:rPr>
          <w:rFonts w:ascii="Arial" w:hAnsi="Arial" w:cs="Arial"/>
        </w:rPr>
        <w:t xml:space="preserve">CT4 assumes that SA2 does not intend to change the existing behaviour.  </w:t>
      </w:r>
    </w:p>
    <w:p w14:paraId="2462395A" w14:textId="673EFD39" w:rsidR="002A3379" w:rsidRDefault="002A3379">
      <w:pPr>
        <w:pStyle w:val="Header"/>
        <w:tabs>
          <w:tab w:val="clear" w:pos="4153"/>
          <w:tab w:val="clear" w:pos="8306"/>
        </w:tabs>
        <w:rPr>
          <w:rFonts w:ascii="Arial" w:hAnsi="Arial" w:cs="Arial"/>
        </w:rPr>
      </w:pPr>
    </w:p>
    <w:p w14:paraId="394327C2" w14:textId="77777777" w:rsidR="00A86FE1" w:rsidRPr="000F4E43" w:rsidRDefault="00A86FE1">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15679E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86FE1" w:rsidRPr="00A86FE1">
        <w:rPr>
          <w:rFonts w:ascii="Arial" w:hAnsi="Arial" w:cs="Arial"/>
          <w:b/>
        </w:rPr>
        <w:t>SA2</w:t>
      </w:r>
      <w:r w:rsidRPr="000F4E43">
        <w:rPr>
          <w:rFonts w:ascii="Arial" w:hAnsi="Arial" w:cs="Arial"/>
          <w:b/>
        </w:rPr>
        <w:t xml:space="preserve"> group.</w:t>
      </w:r>
    </w:p>
    <w:p w14:paraId="4CFA2AD2" w14:textId="2183DCE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A86FE1" w:rsidRPr="00A86FE1">
        <w:rPr>
          <w:rFonts w:ascii="Arial" w:hAnsi="Arial" w:cs="Arial"/>
        </w:rPr>
        <w:t>CT4 kindly ask SA2 to take note of the</w:t>
      </w:r>
      <w:r w:rsidRPr="00A86FE1">
        <w:rPr>
          <w:rFonts w:ascii="Arial" w:hAnsi="Arial" w:cs="Arial"/>
        </w:rPr>
        <w:t xml:space="preserve"> </w:t>
      </w:r>
      <w:r w:rsidR="00A86FE1" w:rsidRPr="00A86FE1">
        <w:rPr>
          <w:rFonts w:ascii="Arial" w:hAnsi="Arial" w:cs="Arial"/>
        </w:rPr>
        <w:t>above information</w:t>
      </w:r>
      <w:r w:rsidR="00A86FE1">
        <w:rPr>
          <w:rFonts w:ascii="Arial" w:hAnsi="Arial" w:cs="Arial"/>
        </w:rPr>
        <w:t xml:space="preserve"> and to re</w:t>
      </w:r>
      <w:r w:rsidR="002A3379">
        <w:rPr>
          <w:rFonts w:ascii="Arial" w:hAnsi="Arial" w:cs="Arial"/>
        </w:rPr>
        <w:t>spond</w:t>
      </w:r>
      <w:r w:rsidR="001C48E7">
        <w:rPr>
          <w:rFonts w:ascii="Arial" w:hAnsi="Arial" w:cs="Arial"/>
        </w:rPr>
        <w:t xml:space="preserve"> to CT4</w:t>
      </w:r>
      <w:r w:rsidR="002A3379">
        <w:rPr>
          <w:rFonts w:ascii="Arial" w:hAnsi="Arial" w:cs="Arial"/>
        </w:rPr>
        <w:t xml:space="preserve"> if CT4 assumption is not correct</w:t>
      </w:r>
      <w:r w:rsidR="00A86FE1" w:rsidRPr="00A86FE1">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5805C91A" w14:textId="3A42564E" w:rsidR="00027ACA" w:rsidRDefault="00027ACA" w:rsidP="00027AC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326B06">
        <w:rPr>
          <w:rFonts w:ascii="Arial" w:hAnsi="Arial" w:cs="Arial"/>
          <w:bCs/>
        </w:rPr>
        <w:t>5</w:t>
      </w:r>
      <w:r>
        <w:rPr>
          <w:rFonts w:ascii="Arial" w:hAnsi="Arial" w:cs="Arial"/>
          <w:bCs/>
        </w:rPr>
        <w:t>e</w:t>
      </w:r>
      <w:r w:rsidRPr="00F0649B">
        <w:rPr>
          <w:rFonts w:ascii="Arial" w:hAnsi="Arial" w:cs="Arial"/>
          <w:bCs/>
        </w:rPr>
        <w:tab/>
      </w:r>
      <w:r>
        <w:rPr>
          <w:rFonts w:ascii="Arial" w:hAnsi="Arial" w:cs="Arial"/>
          <w:bCs/>
        </w:rPr>
        <w:tab/>
        <w:t>0</w:t>
      </w:r>
      <w:r w:rsidR="00326B06">
        <w:rPr>
          <w:rFonts w:ascii="Arial" w:hAnsi="Arial" w:cs="Arial"/>
          <w:bCs/>
        </w:rPr>
        <w:t>8</w:t>
      </w:r>
      <w:r>
        <w:rPr>
          <w:rFonts w:ascii="Arial" w:hAnsi="Arial" w:cs="Arial"/>
          <w:bCs/>
        </w:rPr>
        <w:t>/2021</w:t>
      </w:r>
      <w:r w:rsidRPr="00F0649B">
        <w:rPr>
          <w:rFonts w:ascii="Arial" w:hAnsi="Arial" w:cs="Arial"/>
          <w:bCs/>
        </w:rPr>
        <w:tab/>
      </w:r>
      <w:r>
        <w:rPr>
          <w:rFonts w:ascii="Arial" w:hAnsi="Arial" w:cs="Arial"/>
          <w:bCs/>
        </w:rPr>
        <w:t>E-Meeting</w:t>
      </w:r>
    </w:p>
    <w:p w14:paraId="68E7D53B" w14:textId="1A92157A" w:rsidR="0089666F" w:rsidRPr="00F0649B" w:rsidRDefault="00C165D1" w:rsidP="00A7348D">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326B06">
        <w:rPr>
          <w:rFonts w:ascii="Arial" w:hAnsi="Arial" w:cs="Arial"/>
          <w:bCs/>
        </w:rPr>
        <w:t>6e</w:t>
      </w:r>
      <w:r>
        <w:rPr>
          <w:rFonts w:ascii="Arial" w:hAnsi="Arial" w:cs="Arial"/>
          <w:bCs/>
        </w:rPr>
        <w:tab/>
      </w:r>
      <w:r w:rsidR="00326B06">
        <w:rPr>
          <w:rFonts w:ascii="Arial" w:hAnsi="Arial" w:cs="Arial"/>
          <w:bCs/>
        </w:rPr>
        <w:tab/>
        <w:t>10</w:t>
      </w:r>
      <w:r>
        <w:rPr>
          <w:rFonts w:ascii="Arial" w:hAnsi="Arial" w:cs="Arial"/>
          <w:bCs/>
        </w:rPr>
        <w:t>/2021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2F1A05" w14:textId="77777777" w:rsidR="007032C5" w:rsidRDefault="007032C5">
      <w:r>
        <w:separator/>
      </w:r>
    </w:p>
  </w:endnote>
  <w:endnote w:type="continuationSeparator" w:id="0">
    <w:p w14:paraId="5FEB9E59" w14:textId="77777777" w:rsidR="007032C5" w:rsidRDefault="0070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7073D" w14:textId="77777777" w:rsidR="007032C5" w:rsidRDefault="007032C5">
      <w:r>
        <w:separator/>
      </w:r>
    </w:p>
  </w:footnote>
  <w:footnote w:type="continuationSeparator" w:id="0">
    <w:p w14:paraId="0D01B5C5" w14:textId="77777777" w:rsidR="007032C5" w:rsidRDefault="00703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B1AA1"/>
    <w:rsid w:val="000F4E43"/>
    <w:rsid w:val="001608BF"/>
    <w:rsid w:val="001734EB"/>
    <w:rsid w:val="001A4AF7"/>
    <w:rsid w:val="001C48E7"/>
    <w:rsid w:val="002A3379"/>
    <w:rsid w:val="00326B06"/>
    <w:rsid w:val="00347947"/>
    <w:rsid w:val="003663C4"/>
    <w:rsid w:val="00367678"/>
    <w:rsid w:val="003901E1"/>
    <w:rsid w:val="00401229"/>
    <w:rsid w:val="004234FF"/>
    <w:rsid w:val="00445241"/>
    <w:rsid w:val="00463675"/>
    <w:rsid w:val="004B43FA"/>
    <w:rsid w:val="004C3F5A"/>
    <w:rsid w:val="004C4DCF"/>
    <w:rsid w:val="00507006"/>
    <w:rsid w:val="00584B08"/>
    <w:rsid w:val="00687A0B"/>
    <w:rsid w:val="006D0B09"/>
    <w:rsid w:val="006E17C7"/>
    <w:rsid w:val="0070162A"/>
    <w:rsid w:val="007032C5"/>
    <w:rsid w:val="007116E4"/>
    <w:rsid w:val="00726FC3"/>
    <w:rsid w:val="0077485D"/>
    <w:rsid w:val="0089666F"/>
    <w:rsid w:val="0090241A"/>
    <w:rsid w:val="00923E7C"/>
    <w:rsid w:val="009F6E85"/>
    <w:rsid w:val="00A7348D"/>
    <w:rsid w:val="00A757F1"/>
    <w:rsid w:val="00A86FE1"/>
    <w:rsid w:val="00A908B1"/>
    <w:rsid w:val="00AD51BB"/>
    <w:rsid w:val="00AE489C"/>
    <w:rsid w:val="00B144F4"/>
    <w:rsid w:val="00BF7EE2"/>
    <w:rsid w:val="00C165D1"/>
    <w:rsid w:val="00CA2FB0"/>
    <w:rsid w:val="00D53018"/>
    <w:rsid w:val="00D676CD"/>
    <w:rsid w:val="00E16BBB"/>
    <w:rsid w:val="00E20604"/>
    <w:rsid w:val="00E4207B"/>
    <w:rsid w:val="00E72B30"/>
    <w:rsid w:val="00E76827"/>
    <w:rsid w:val="00EA19B5"/>
    <w:rsid w:val="00F0649B"/>
    <w:rsid w:val="00F12248"/>
    <w:rsid w:val="00F16C83"/>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TAL">
    <w:name w:val="TAL"/>
    <w:basedOn w:val="Normal"/>
    <w:link w:val="TALChar"/>
    <w:qFormat/>
    <w:rsid w:val="002A3379"/>
    <w:pPr>
      <w:keepNext/>
      <w:keepLines/>
    </w:pPr>
    <w:rPr>
      <w:rFonts w:ascii="Arial" w:eastAsia="SimSun" w:hAnsi="Arial"/>
      <w:sz w:val="18"/>
    </w:rPr>
  </w:style>
  <w:style w:type="paragraph" w:customStyle="1" w:styleId="TAH">
    <w:name w:val="TAH"/>
    <w:basedOn w:val="TAC"/>
    <w:link w:val="TAHChar"/>
    <w:qFormat/>
    <w:rsid w:val="002A3379"/>
    <w:rPr>
      <w:b/>
    </w:rPr>
  </w:style>
  <w:style w:type="paragraph" w:customStyle="1" w:styleId="TAC">
    <w:name w:val="TAC"/>
    <w:basedOn w:val="TAL"/>
    <w:link w:val="TACChar"/>
    <w:qFormat/>
    <w:rsid w:val="002A3379"/>
    <w:pPr>
      <w:jc w:val="center"/>
    </w:pPr>
  </w:style>
  <w:style w:type="paragraph" w:customStyle="1" w:styleId="TH">
    <w:name w:val="TH"/>
    <w:basedOn w:val="Normal"/>
    <w:link w:val="THChar"/>
    <w:qFormat/>
    <w:rsid w:val="002A3379"/>
    <w:pPr>
      <w:keepNext/>
      <w:keepLines/>
      <w:spacing w:before="60" w:after="180"/>
      <w:jc w:val="center"/>
    </w:pPr>
    <w:rPr>
      <w:rFonts w:ascii="Arial" w:eastAsia="SimSun" w:hAnsi="Arial"/>
      <w:b/>
    </w:rPr>
  </w:style>
  <w:style w:type="character" w:customStyle="1" w:styleId="TALChar">
    <w:name w:val="TAL Char"/>
    <w:link w:val="TAL"/>
    <w:qFormat/>
    <w:locked/>
    <w:rsid w:val="002A3379"/>
    <w:rPr>
      <w:rFonts w:ascii="Arial" w:eastAsia="SimSun" w:hAnsi="Arial"/>
      <w:sz w:val="18"/>
      <w:lang w:eastAsia="en-US"/>
    </w:rPr>
  </w:style>
  <w:style w:type="character" w:customStyle="1" w:styleId="TAHChar">
    <w:name w:val="TAH Char"/>
    <w:link w:val="TAH"/>
    <w:qFormat/>
    <w:locked/>
    <w:rsid w:val="002A3379"/>
    <w:rPr>
      <w:rFonts w:ascii="Arial" w:eastAsia="SimSun" w:hAnsi="Arial"/>
      <w:b/>
      <w:sz w:val="18"/>
      <w:lang w:eastAsia="en-US"/>
    </w:rPr>
  </w:style>
  <w:style w:type="character" w:customStyle="1" w:styleId="THChar">
    <w:name w:val="TH Char"/>
    <w:link w:val="TH"/>
    <w:qFormat/>
    <w:locked/>
    <w:rsid w:val="002A3379"/>
    <w:rPr>
      <w:rFonts w:ascii="Arial" w:eastAsia="SimSun" w:hAnsi="Arial"/>
      <w:b/>
      <w:lang w:eastAsia="en-US"/>
    </w:rPr>
  </w:style>
  <w:style w:type="character" w:customStyle="1" w:styleId="TACChar">
    <w:name w:val="TAC Char"/>
    <w:link w:val="TAC"/>
    <w:qFormat/>
    <w:rsid w:val="002A3379"/>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424</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 - rev1</cp:lastModifiedBy>
  <cp:revision>47</cp:revision>
  <cp:lastPrinted>2002-04-23T07:10:00Z</cp:lastPrinted>
  <dcterms:created xsi:type="dcterms:W3CDTF">2019-01-14T13:28:00Z</dcterms:created>
  <dcterms:modified xsi:type="dcterms:W3CDTF">2021-05-25T07:34:00Z</dcterms:modified>
</cp:coreProperties>
</file>